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173ABA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4A7B1B" w:rsidRDefault="004A7B1B" w:rsidP="00173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МБАЛ “Д-р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Братан</w:t>
            </w:r>
            <w:proofErr w:type="spellEnd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Шукеров”АД</w:t>
            </w:r>
            <w:proofErr w:type="spellEnd"/>
          </w:p>
        </w:tc>
      </w:tr>
      <w:tr w:rsidR="00110F4E" w:rsidRPr="00D17798" w:rsidTr="00173ABA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73ABA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нуждаещи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хемодиализа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диализно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лечение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 МБАЛ “Д-р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Братан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Шукеров”АД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</w:t>
            </w:r>
            <w:proofErr w:type="spellEnd"/>
            <w:r w:rsidRPr="00173ABA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3ABA" w:rsidRPr="00090C7F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73ABA" w:rsidRPr="002B7A56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rPr>
          <w:trHeight w:val="466"/>
        </w:trPr>
        <w:tc>
          <w:tcPr>
            <w:tcW w:w="4644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73ABA" w:rsidRPr="00D17798" w:rsidTr="00173ABA">
        <w:trPr>
          <w:trHeight w:val="1372"/>
        </w:trPr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rPr>
          <w:trHeight w:val="1516"/>
        </w:trPr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73ABA" w:rsidRPr="00090C7F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 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rPr>
          <w:trHeight w:val="1616"/>
        </w:trPr>
        <w:tc>
          <w:tcPr>
            <w:tcW w:w="4644" w:type="dxa"/>
            <w:shd w:val="clear" w:color="auto" w:fill="auto"/>
          </w:tcPr>
          <w:p w:rsidR="00173ABA" w:rsidRPr="00CD371A" w:rsidRDefault="00173ABA" w:rsidP="00173A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73ABA" w:rsidRPr="00CD371A" w:rsidRDefault="00173ABA" w:rsidP="00173A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73ABA" w:rsidRPr="009D229B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BA" w:rsidRPr="00BD5B76" w:rsidTr="00173ABA">
        <w:trPr>
          <w:trHeight w:val="1471"/>
        </w:trPr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CD371A" w:rsidRDefault="00173ABA" w:rsidP="0017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spellStart"/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73ABA" w:rsidRPr="00D17798" w:rsidTr="00173AB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73ABA" w:rsidRPr="002B5A19" w:rsidRDefault="00173ABA" w:rsidP="00173AB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73ABA" w:rsidRPr="002B5A19" w:rsidRDefault="00173ABA" w:rsidP="00173AB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73ABA" w:rsidRPr="00BD5B76" w:rsidTr="00173AB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73ABA" w:rsidRPr="002B5A19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2B5A19" w:rsidRDefault="00173ABA" w:rsidP="00173AB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 [] Не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73ABA" w:rsidRPr="00D17798" w:rsidTr="00173ABA">
        <w:trPr>
          <w:trHeight w:val="406"/>
        </w:trPr>
        <w:tc>
          <w:tcPr>
            <w:tcW w:w="4644" w:type="dxa"/>
            <w:shd w:val="clear" w:color="auto" w:fill="auto"/>
          </w:tcPr>
          <w:p w:rsidR="00173ABA" w:rsidRPr="009F410A" w:rsidRDefault="00173ABA" w:rsidP="00173AB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 xml:space="preserve">. с чл. 54, </w:t>
            </w:r>
            <w:proofErr w:type="gramStart"/>
            <w:r w:rsidRPr="009F410A">
              <w:rPr>
                <w:sz w:val="20"/>
                <w:szCs w:val="20"/>
              </w:rPr>
              <w:t>ал</w:t>
            </w:r>
            <w:proofErr w:type="gramEnd"/>
            <w:r w:rsidRPr="009F410A">
              <w:rPr>
                <w:sz w:val="20"/>
                <w:szCs w:val="20"/>
              </w:rPr>
              <w:t>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D17798" w:rsidRDefault="00173ABA" w:rsidP="00173AB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73ABA" w:rsidRPr="00BD5B76" w:rsidTr="00173ABA">
        <w:trPr>
          <w:trHeight w:val="406"/>
        </w:trPr>
        <w:tc>
          <w:tcPr>
            <w:tcW w:w="4644" w:type="dxa"/>
            <w:shd w:val="clear" w:color="auto" w:fill="auto"/>
          </w:tcPr>
          <w:p w:rsidR="00173ABA" w:rsidRPr="004869F6" w:rsidRDefault="00173ABA" w:rsidP="00173AB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>
              <w:t xml:space="preserve"> </w:t>
            </w:r>
          </w:p>
          <w:p w:rsidR="00173ABA" w:rsidRPr="009F410A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на основания за отстраняване</w:t>
            </w:r>
            <w:r w:rsidR="00755DA9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или изпълнението на критериите за подбор</w:t>
            </w:r>
            <w:r w:rsidR="00755DA9" w:rsidRPr="009F410A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73ABA" w:rsidRPr="004869F6" w:rsidRDefault="00173ABA" w:rsidP="00173AB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="00755DA9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или изпъл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="00755DA9"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</w:tc>
      </w:tr>
      <w:tr w:rsidR="00173ABA" w:rsidRPr="00D17798" w:rsidTr="00173AB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73ABA" w:rsidRPr="009F410A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73ABA" w:rsidRPr="004869F6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73ABA" w:rsidRPr="004869F6" w:rsidRDefault="00173ABA" w:rsidP="00173AB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4869F6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73ABA" w:rsidRPr="00BD5B76" w:rsidTr="00173AB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73ABA" w:rsidRPr="00D17798" w:rsidRDefault="00173ABA" w:rsidP="00173ABA"/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мерки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73ABA" w:rsidRPr="00BD5B76" w:rsidTr="00173AB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73ABA" w:rsidRPr="00D17798" w:rsidRDefault="00173ABA" w:rsidP="00173AB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lang w:val="ru-RU"/>
              </w:rPr>
            </w:pPr>
          </w:p>
        </w:tc>
      </w:tr>
      <w:tr w:rsidR="00173ABA" w:rsidRPr="00D17798" w:rsidTr="00173ABA">
        <w:trPr>
          <w:trHeight w:val="1316"/>
        </w:trPr>
        <w:tc>
          <w:tcPr>
            <w:tcW w:w="4644" w:type="dxa"/>
            <w:shd w:val="clear" w:color="auto" w:fill="auto"/>
          </w:tcPr>
          <w:p w:rsidR="00173ABA" w:rsidRPr="00302B33" w:rsidRDefault="00173ABA" w:rsidP="00173AB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 xml:space="preserve">чл. 54,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73ABA" w:rsidRPr="008D68EC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EF6C37" w:rsidRDefault="00173ABA" w:rsidP="00173ABA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EF6C37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73ABA" w:rsidRPr="00D17798" w:rsidRDefault="00173ABA" w:rsidP="00173AB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73ABA" w:rsidRPr="00EF6C37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73ABA" w:rsidRPr="00EF6C37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73ABA" w:rsidRPr="009854FA" w:rsidRDefault="00173ABA" w:rsidP="00173ABA">
      <w:pPr>
        <w:pStyle w:val="SectionTitle"/>
        <w:rPr>
          <w:sz w:val="20"/>
          <w:szCs w:val="20"/>
        </w:rPr>
      </w:pPr>
      <w:bookmarkStart w:id="0" w:name="_GoBack"/>
      <w:bookmarkEnd w:id="0"/>
      <w:r w:rsidRPr="009854FA">
        <w:rPr>
          <w:sz w:val="20"/>
          <w:szCs w:val="20"/>
        </w:rPr>
        <w:t xml:space="preserve">ЧАСТ ТРЕТА </w:t>
      </w:r>
    </w:p>
    <w:p w:rsidR="00173ABA" w:rsidRPr="009854FA" w:rsidRDefault="00173ABA" w:rsidP="00173ABA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73ABA" w:rsidRPr="008E3FEF" w:rsidRDefault="00173ABA" w:rsidP="00173ABA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9854FA" w:rsidTr="00173ABA">
        <w:tc>
          <w:tcPr>
            <w:tcW w:w="4644" w:type="dxa"/>
            <w:shd w:val="clear" w:color="auto" w:fill="auto"/>
          </w:tcPr>
          <w:p w:rsidR="00173ABA" w:rsidRPr="008E3FEF" w:rsidRDefault="00173ABA" w:rsidP="00173ABA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73ABA" w:rsidRPr="008E3FEF" w:rsidRDefault="00173ABA" w:rsidP="00173ABA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73ABA" w:rsidRPr="00BD5B76" w:rsidTr="00173ABA">
        <w:tc>
          <w:tcPr>
            <w:tcW w:w="4644" w:type="dxa"/>
            <w:shd w:val="clear" w:color="auto" w:fill="auto"/>
          </w:tcPr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При </w:t>
            </w:r>
            <w:r>
              <w:rPr>
                <w:color w:val="222222"/>
                <w:sz w:val="20"/>
                <w:szCs w:val="20"/>
              </w:rPr>
              <w:t xml:space="preserve">обществена поръчка за услуга: 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>
              <w:rPr>
                <w:color w:val="222222"/>
                <w:sz w:val="20"/>
                <w:szCs w:val="20"/>
              </w:rPr>
              <w:t xml:space="preserve">, в която е установен </w:t>
            </w:r>
            <w:r w:rsidRPr="008E3FEF">
              <w:rPr>
                <w:color w:val="222222"/>
                <w:sz w:val="20"/>
                <w:szCs w:val="20"/>
              </w:rPr>
              <w:t>?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ал.2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 w:rsidRPr="008E3FEF">
              <w:rPr>
                <w:color w:val="222222"/>
                <w:sz w:val="20"/>
                <w:szCs w:val="20"/>
              </w:rPr>
              <w:t xml:space="preserve"> 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73ABA" w:rsidRPr="008E3FEF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[] Да [] Не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Ако да, моля посочете какво и дали икономическият оператор го притежава: </w:t>
            </w:r>
          </w:p>
          <w:p w:rsidR="00173ABA" w:rsidRPr="008E3FEF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[] Да [] Не 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73ABA" w:rsidRPr="008E3FEF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73ABA" w:rsidRPr="00DC7773" w:rsidRDefault="0015418D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r w:rsidR="00173ABA" w:rsidRPr="00DC7773">
        <w:rPr>
          <w:sz w:val="20"/>
          <w:szCs w:val="20"/>
        </w:rPr>
        <w:t>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C7773" w:rsidTr="00173ABA">
        <w:tc>
          <w:tcPr>
            <w:tcW w:w="4644" w:type="dxa"/>
            <w:shd w:val="clear" w:color="auto" w:fill="auto"/>
          </w:tcPr>
          <w:p w:rsidR="00173ABA" w:rsidRPr="00DC7773" w:rsidRDefault="00173ABA" w:rsidP="00173ABA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:</w:t>
            </w: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DC7773" w:rsidRDefault="00173ABA" w:rsidP="00173ABA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B4396" w:rsidRDefault="00F60C94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1</w:t>
            </w:r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разполага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персонал/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ръководен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състав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следната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професионална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компетентност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(чл. 63, ал.1, т. 5 от ЗОП) </w:t>
            </w:r>
          </w:p>
          <w:p w:rsidR="00173ABA" w:rsidRPr="00BB4396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:rsidR="00173ABA" w:rsidRPr="00B51ACD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B4396" w:rsidRDefault="00F60C94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2</w:t>
            </w:r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Следните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инструменти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съоръжения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техническо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оборудване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ще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за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договора: (чл. 63, ал.1, т. 8 от ЗОП)</w:t>
            </w:r>
          </w:p>
        </w:tc>
        <w:tc>
          <w:tcPr>
            <w:tcW w:w="4645" w:type="dxa"/>
            <w:shd w:val="clear" w:color="auto" w:fill="auto"/>
          </w:tcPr>
          <w:p w:rsidR="00173ABA" w:rsidRPr="00B51ACD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</w:tbl>
    <w:p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Дата, 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име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 и фамилия……………………………………………….,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proofErr w:type="gramStart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………………………..</w:t>
      </w:r>
      <w:proofErr w:type="spellStart"/>
      <w:proofErr w:type="gramEnd"/>
      <w:r w:rsidRPr="00D03D9F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</w:p>
    <w:p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B8" w:rsidRDefault="00E067B8" w:rsidP="00110F4E">
      <w:pPr>
        <w:spacing w:after="0" w:line="240" w:lineRule="auto"/>
      </w:pPr>
      <w:r>
        <w:separator/>
      </w:r>
    </w:p>
  </w:endnote>
  <w:endnote w:type="continuationSeparator" w:id="0">
    <w:p w:rsidR="00E067B8" w:rsidRDefault="00E067B8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86329"/>
      <w:docPartObj>
        <w:docPartGallery w:val="Page Numbers (Bottom of Page)"/>
        <w:docPartUnique/>
      </w:docPartObj>
    </w:sdtPr>
    <w:sdtEndPr/>
    <w:sdtContent>
      <w:p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BC" w:rsidRPr="000522BC">
          <w:rPr>
            <w:noProof/>
            <w:lang w:val="bg-BG"/>
          </w:rPr>
          <w:t>6</w:t>
        </w:r>
        <w:r>
          <w:fldChar w:fldCharType="end"/>
        </w:r>
      </w:p>
    </w:sdtContent>
  </w:sdt>
  <w:p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B8" w:rsidRDefault="00E067B8" w:rsidP="00110F4E">
      <w:pPr>
        <w:spacing w:after="0" w:line="240" w:lineRule="auto"/>
      </w:pPr>
      <w:r>
        <w:separator/>
      </w:r>
    </w:p>
  </w:footnote>
  <w:footnote w:type="continuationSeparator" w:id="0">
    <w:p w:rsidR="00E067B8" w:rsidRDefault="00E067B8" w:rsidP="00110F4E">
      <w:pPr>
        <w:spacing w:after="0" w:line="240" w:lineRule="auto"/>
      </w:pPr>
      <w:r>
        <w:continuationSeparator/>
      </w:r>
    </w:p>
  </w:footnote>
  <w:footnote w:id="1">
    <w:p w:rsidR="00173ABA" w:rsidRPr="003F6284" w:rsidRDefault="00173ABA" w:rsidP="00173ABA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73ABA" w:rsidRPr="00741C2F" w:rsidRDefault="00173ABA" w:rsidP="00173ABA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755DA9" w:rsidRPr="00302B33" w:rsidRDefault="00755DA9" w:rsidP="00755DA9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755DA9" w:rsidRPr="00302B33" w:rsidRDefault="00755DA9" w:rsidP="00755DA9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5">
    <w:p w:rsidR="00173ABA" w:rsidRPr="00302B33" w:rsidRDefault="00173ABA" w:rsidP="00173ABA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73ABA" w:rsidRPr="00A57F20" w:rsidRDefault="00173ABA" w:rsidP="00173AB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73ABA" w:rsidRPr="003E6080" w:rsidRDefault="00173ABA" w:rsidP="00173AB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522BC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18D"/>
    <w:rsid w:val="00154A09"/>
    <w:rsid w:val="001659AB"/>
    <w:rsid w:val="00173ABA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95705"/>
    <w:rsid w:val="003A0FD2"/>
    <w:rsid w:val="003A39A8"/>
    <w:rsid w:val="003C2E45"/>
    <w:rsid w:val="00412826"/>
    <w:rsid w:val="00452426"/>
    <w:rsid w:val="00460CA8"/>
    <w:rsid w:val="004A7B1B"/>
    <w:rsid w:val="004B6B14"/>
    <w:rsid w:val="004D6FA1"/>
    <w:rsid w:val="00502DDA"/>
    <w:rsid w:val="00511AA1"/>
    <w:rsid w:val="00563E2C"/>
    <w:rsid w:val="005D7650"/>
    <w:rsid w:val="005E6D47"/>
    <w:rsid w:val="006511F7"/>
    <w:rsid w:val="00654A28"/>
    <w:rsid w:val="0068511A"/>
    <w:rsid w:val="006A29AF"/>
    <w:rsid w:val="006B15E6"/>
    <w:rsid w:val="006B3B56"/>
    <w:rsid w:val="006C2C07"/>
    <w:rsid w:val="006E04E5"/>
    <w:rsid w:val="006E3669"/>
    <w:rsid w:val="006F776A"/>
    <w:rsid w:val="007361C1"/>
    <w:rsid w:val="00740936"/>
    <w:rsid w:val="00755DA9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5C53"/>
    <w:rsid w:val="008F5885"/>
    <w:rsid w:val="009028C1"/>
    <w:rsid w:val="00952F0F"/>
    <w:rsid w:val="00966673"/>
    <w:rsid w:val="009A0201"/>
    <w:rsid w:val="009A6BB5"/>
    <w:rsid w:val="009A6D50"/>
    <w:rsid w:val="009A73E5"/>
    <w:rsid w:val="009D5BF0"/>
    <w:rsid w:val="00A12405"/>
    <w:rsid w:val="00A26E19"/>
    <w:rsid w:val="00A570EB"/>
    <w:rsid w:val="00A7256D"/>
    <w:rsid w:val="00AC78CE"/>
    <w:rsid w:val="00AF2AB8"/>
    <w:rsid w:val="00B169FC"/>
    <w:rsid w:val="00B2137A"/>
    <w:rsid w:val="00B242BD"/>
    <w:rsid w:val="00B50EEF"/>
    <w:rsid w:val="00B55BA3"/>
    <w:rsid w:val="00B576B8"/>
    <w:rsid w:val="00B75B21"/>
    <w:rsid w:val="00BB4396"/>
    <w:rsid w:val="00BD5B76"/>
    <w:rsid w:val="00CC33AD"/>
    <w:rsid w:val="00CE260A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067B8"/>
    <w:rsid w:val="00E2640C"/>
    <w:rsid w:val="00E40F98"/>
    <w:rsid w:val="00EB1E1A"/>
    <w:rsid w:val="00EB42F4"/>
    <w:rsid w:val="00EB7482"/>
    <w:rsid w:val="00EE6EC3"/>
    <w:rsid w:val="00F33BE6"/>
    <w:rsid w:val="00F54622"/>
    <w:rsid w:val="00F60C94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MBALUSER</cp:lastModifiedBy>
  <cp:revision>6</cp:revision>
  <dcterms:created xsi:type="dcterms:W3CDTF">2020-06-11T14:48:00Z</dcterms:created>
  <dcterms:modified xsi:type="dcterms:W3CDTF">2020-06-12T06:42:00Z</dcterms:modified>
</cp:coreProperties>
</file>